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32E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6C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6CAA">
        <w:rPr>
          <w:rFonts w:asciiTheme="minorHAnsi" w:hAnsiTheme="minorHAnsi" w:cs="Arial"/>
          <w:b/>
          <w:lang w:val="en-ZA"/>
        </w:rPr>
        <w:t>(THE STANDARD BANK OF SOUTH AFRICA LIMITED –</w:t>
      </w:r>
      <w:r w:rsidR="001F6CAA">
        <w:rPr>
          <w:rFonts w:asciiTheme="minorHAnsi" w:hAnsiTheme="minorHAnsi" w:cs="Arial"/>
          <w:b/>
          <w:lang w:val="en-ZA"/>
        </w:rPr>
        <w:t xml:space="preserve"> </w:t>
      </w:r>
      <w:r w:rsidRPr="001F6CAA">
        <w:rPr>
          <w:rFonts w:asciiTheme="minorHAnsi" w:hAnsiTheme="minorHAnsi" w:cs="Arial"/>
          <w:b/>
          <w:lang w:val="en-ZA"/>
        </w:rPr>
        <w:t>“CLN748”)</w:t>
      </w:r>
    </w:p>
    <w:p w:rsidR="007F4679" w:rsidRPr="001F6CA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6CA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6CAA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1F6CA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1F6CAA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 xml:space="preserve"> bps)</w:t>
      </w:r>
    </w:p>
    <w:p w:rsidR="001F6CAA" w:rsidRPr="00F64748" w:rsidRDefault="001F6CA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6C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6C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32E2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632E2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816F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https://clientportal.jse.co.za/Content/JSEPricingSupplementsItems/CLN748%20PricingSupplement1705.pdf</w:t>
        </w:r>
      </w:hyperlink>
    </w:p>
    <w:p w:rsidR="00E632E2" w:rsidRPr="00F64748" w:rsidRDefault="00E632E2" w:rsidP="00E632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6CAA" w:rsidRPr="003A5C94" w:rsidRDefault="001F6CAA" w:rsidP="001F6CA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1F6CAA" w:rsidRPr="00F64748" w:rsidRDefault="001F6CAA" w:rsidP="001F6C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3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3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0F3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A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71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E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5CA448"/>
  <w15:docId w15:val="{37F7C0EE-7355-4ABA-AFA9-B24B5E9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D7ED6E9-A0CD-4999-9935-4CEFDFCFA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726AA-4C88-42C5-9049-1925A2A6FA26}"/>
</file>

<file path=customXml/itemProps3.xml><?xml version="1.0" encoding="utf-8"?>
<ds:datastoreItem xmlns:ds="http://schemas.openxmlformats.org/officeDocument/2006/customXml" ds:itemID="{E90D05F6-2229-4130-BADB-7E7D68B3B7B0}"/>
</file>

<file path=customXml/itemProps4.xml><?xml version="1.0" encoding="utf-8"?>
<ds:datastoreItem xmlns:ds="http://schemas.openxmlformats.org/officeDocument/2006/customXml" ds:itemID="{EE04B01F-5CF9-4545-BE51-104A384904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2021-05-17T09:16:00Z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